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2CDD4" w14:textId="77777777" w:rsidR="00F77C8A" w:rsidRPr="007652DC" w:rsidRDefault="00F77C8A" w:rsidP="00F77C8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ind w:left="1134" w:right="1110"/>
        <w:jc w:val="center"/>
        <w:rPr>
          <w:rFonts w:asciiTheme="minorHAnsi" w:hAnsiTheme="minorHAnsi" w:cstheme="minorHAnsi"/>
          <w:b/>
          <w:bCs/>
          <w:color w:val="FFFFFF" w:themeColor="background1"/>
          <w:sz w:val="28"/>
        </w:rPr>
      </w:pPr>
      <w:r w:rsidRPr="007652DC">
        <w:rPr>
          <w:rFonts w:asciiTheme="minorHAnsi" w:hAnsiTheme="minorHAnsi" w:cstheme="minorHAnsi"/>
          <w:b/>
          <w:bCs/>
          <w:color w:val="FFFFFF" w:themeColor="background1"/>
          <w:sz w:val="28"/>
        </w:rPr>
        <w:t>VACCINATION CONTRE</w:t>
      </w:r>
    </w:p>
    <w:p w14:paraId="480BBB59" w14:textId="491FE29E" w:rsidR="00431B6F" w:rsidRPr="007652DC" w:rsidRDefault="0022320E" w:rsidP="00F77C8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ind w:left="1134" w:right="1110"/>
        <w:jc w:val="center"/>
        <w:rPr>
          <w:rFonts w:asciiTheme="minorHAnsi" w:hAnsiTheme="minorHAnsi" w:cstheme="minorHAnsi"/>
          <w:color w:val="FFFFFF" w:themeColor="background1"/>
          <w:sz w:val="28"/>
        </w:rPr>
      </w:pPr>
      <w:r w:rsidRPr="007652DC">
        <w:rPr>
          <w:rFonts w:asciiTheme="minorHAnsi" w:hAnsiTheme="minorHAnsi" w:cstheme="minorHAnsi"/>
          <w:b/>
          <w:bCs/>
          <w:color w:val="FFFFFF" w:themeColor="background1"/>
          <w:sz w:val="28"/>
        </w:rPr>
        <w:t xml:space="preserve">LES INFECTIONS INVASIVES </w:t>
      </w:r>
      <w:r w:rsidR="00E579B8" w:rsidRPr="007652DC">
        <w:rPr>
          <w:rFonts w:asciiTheme="minorHAnsi" w:hAnsiTheme="minorHAnsi" w:cstheme="minorHAnsi"/>
          <w:b/>
          <w:bCs/>
          <w:color w:val="FFFFFF" w:themeColor="background1"/>
          <w:sz w:val="28"/>
        </w:rPr>
        <w:t>À</w:t>
      </w:r>
      <w:r w:rsidRPr="007652DC">
        <w:rPr>
          <w:rFonts w:asciiTheme="minorHAnsi" w:hAnsiTheme="minorHAnsi" w:cstheme="minorHAnsi"/>
          <w:b/>
          <w:bCs/>
          <w:color w:val="FFFFFF" w:themeColor="background1"/>
          <w:sz w:val="28"/>
        </w:rPr>
        <w:t xml:space="preserve"> M</w:t>
      </w:r>
      <w:r w:rsidR="00E579B8" w:rsidRPr="007652DC">
        <w:rPr>
          <w:rFonts w:asciiTheme="minorHAnsi" w:hAnsiTheme="minorHAnsi" w:cstheme="minorHAnsi"/>
          <w:b/>
          <w:bCs/>
          <w:color w:val="FFFFFF" w:themeColor="background1"/>
          <w:sz w:val="28"/>
        </w:rPr>
        <w:t>É</w:t>
      </w:r>
      <w:r w:rsidRPr="007652DC">
        <w:rPr>
          <w:rFonts w:asciiTheme="minorHAnsi" w:hAnsiTheme="minorHAnsi" w:cstheme="minorHAnsi"/>
          <w:b/>
          <w:bCs/>
          <w:color w:val="FFFFFF" w:themeColor="background1"/>
          <w:sz w:val="28"/>
        </w:rPr>
        <w:t>NINGOCOQUES</w:t>
      </w:r>
    </w:p>
    <w:p w14:paraId="5B6F05E8" w14:textId="51A04CE4" w:rsidR="00431B6F" w:rsidRPr="007652DC" w:rsidRDefault="00431B6F" w:rsidP="00431B6F">
      <w:pPr>
        <w:pStyle w:val="Sansinterligne"/>
        <w:rPr>
          <w:rFonts w:asciiTheme="minorHAnsi" w:hAnsiTheme="minorHAnsi" w:cstheme="minorHAnsi"/>
        </w:rPr>
      </w:pPr>
    </w:p>
    <w:p w14:paraId="0DB29CA0" w14:textId="77777777" w:rsidR="000068DE" w:rsidRPr="007652DC" w:rsidRDefault="000068DE" w:rsidP="00431B6F">
      <w:pPr>
        <w:pStyle w:val="Sansinterligne"/>
        <w:rPr>
          <w:rFonts w:asciiTheme="minorHAnsi" w:hAnsiTheme="minorHAnsi" w:cstheme="minorHAnsi"/>
        </w:rPr>
      </w:pPr>
    </w:p>
    <w:p w14:paraId="4D426C1F" w14:textId="14C9CFE8" w:rsidR="00431B6F" w:rsidRPr="007652DC" w:rsidRDefault="00977BDB" w:rsidP="00F77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5930"/>
        <w:jc w:val="center"/>
        <w:rPr>
          <w:rFonts w:asciiTheme="minorHAnsi" w:hAnsiTheme="minorHAnsi" w:cstheme="minorHAnsi"/>
          <w:b/>
          <w:color w:val="1F497D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Cs w:val="22"/>
          <w:lang w:eastAsia="en-US"/>
        </w:rPr>
        <w:t xml:space="preserve">1- </w:t>
      </w:r>
      <w:r w:rsidR="0022320E" w:rsidRPr="007652DC">
        <w:rPr>
          <w:rFonts w:asciiTheme="minorHAnsi" w:hAnsiTheme="minorHAnsi" w:cstheme="minorHAnsi"/>
          <w:b/>
          <w:color w:val="1F497D"/>
          <w:szCs w:val="22"/>
          <w:lang w:eastAsia="en-US"/>
        </w:rPr>
        <w:t>VACCINATION SOUCHES ACWY</w:t>
      </w:r>
    </w:p>
    <w:p w14:paraId="083ACF1C" w14:textId="38509B7D" w:rsidR="001B23BF" w:rsidRPr="007652DC" w:rsidRDefault="001B23BF" w:rsidP="00F77C8A">
      <w:pPr>
        <w:pStyle w:val="Sansinterligne"/>
        <w:rPr>
          <w:rFonts w:asciiTheme="minorHAnsi" w:hAnsiTheme="minorHAnsi" w:cstheme="minorHAnsi"/>
        </w:rPr>
      </w:pPr>
    </w:p>
    <w:p w14:paraId="302127EA" w14:textId="605858BB" w:rsidR="009D11D7" w:rsidRPr="007652DC" w:rsidRDefault="009D11D7" w:rsidP="00F77C8A">
      <w:pPr>
        <w:pStyle w:val="Paragraphedeliste"/>
        <w:ind w:left="0"/>
        <w:jc w:val="both"/>
        <w:rPr>
          <w:rStyle w:val="Lienhypertexte"/>
          <w:rFonts w:asciiTheme="minorHAnsi" w:hAnsiTheme="minorHAnsi" w:cstheme="minorHAnsi"/>
          <w:b/>
          <w:color w:val="FF0000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Rappel des recommandations spécifiques MenACWY </w:t>
      </w:r>
      <w:r w:rsidR="00F77C8A" w:rsidRPr="007652D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(</w:t>
      </w:r>
      <w:hyperlink r:id="rId7" w:history="1">
        <w:r w:rsidRPr="007652DC">
          <w:rPr>
            <w:rStyle w:val="Lienhypertexte"/>
            <w:rFonts w:asciiTheme="minorHAnsi" w:hAnsiTheme="minorHAnsi" w:cstheme="minorHAnsi"/>
            <w:b/>
            <w:color w:val="FF0000"/>
            <w:sz w:val="22"/>
            <w:szCs w:val="22"/>
            <w:lang w:eastAsia="en-US"/>
          </w:rPr>
          <w:t>HAS</w:t>
        </w:r>
        <w:r w:rsidR="00F77C8A" w:rsidRPr="007652DC">
          <w:rPr>
            <w:rStyle w:val="Lienhypertexte"/>
            <w:rFonts w:asciiTheme="minorHAnsi" w:hAnsiTheme="minorHAnsi" w:cstheme="minorHAnsi"/>
            <w:b/>
            <w:color w:val="FF0000"/>
            <w:sz w:val="22"/>
            <w:szCs w:val="22"/>
            <w:lang w:eastAsia="en-US"/>
          </w:rPr>
          <w:t>)</w:t>
        </w:r>
        <w:r w:rsidRPr="007652DC">
          <w:rPr>
            <w:rStyle w:val="Lienhypertexte"/>
            <w:rFonts w:asciiTheme="minorHAnsi" w:hAnsiTheme="minorHAnsi" w:cstheme="minorHAnsi"/>
            <w:b/>
            <w:color w:val="FF0000"/>
            <w:sz w:val="22"/>
            <w:szCs w:val="22"/>
            <w:lang w:eastAsia="en-US"/>
          </w:rPr>
          <w:t xml:space="preserve"> </w:t>
        </w:r>
        <w:r w:rsidR="00F77C8A" w:rsidRPr="007652DC">
          <w:rPr>
            <w:rStyle w:val="Lienhypertexte"/>
            <w:rFonts w:asciiTheme="minorHAnsi" w:hAnsiTheme="minorHAnsi" w:cstheme="minorHAnsi"/>
            <w:b/>
            <w:color w:val="FF0000"/>
            <w:sz w:val="22"/>
            <w:szCs w:val="22"/>
            <w:lang w:eastAsia="en-US"/>
          </w:rPr>
          <w:t>du</w:t>
        </w:r>
        <w:r w:rsidRPr="007652DC">
          <w:rPr>
            <w:rStyle w:val="Lienhypertexte"/>
            <w:rFonts w:asciiTheme="minorHAnsi" w:hAnsiTheme="minorHAnsi" w:cstheme="minorHAnsi"/>
            <w:b/>
            <w:color w:val="FF0000"/>
            <w:sz w:val="22"/>
            <w:szCs w:val="22"/>
            <w:lang w:eastAsia="en-US"/>
          </w:rPr>
          <w:t xml:space="preserve"> 11 mars 2021</w:t>
        </w:r>
      </w:hyperlink>
      <w:r w:rsidRPr="007652DC">
        <w:rPr>
          <w:rStyle w:val="Lienhypertexte"/>
          <w:rFonts w:asciiTheme="minorHAnsi" w:hAnsiTheme="minorHAnsi" w:cstheme="minorHAnsi"/>
          <w:b/>
          <w:color w:val="FF0000"/>
          <w:sz w:val="22"/>
          <w:szCs w:val="22"/>
          <w:lang w:eastAsia="en-US"/>
        </w:rPr>
        <w:t> : populations à risque</w:t>
      </w:r>
      <w:r w:rsidR="00977BDB" w:rsidRPr="007652DC">
        <w:rPr>
          <w:rStyle w:val="Lienhypertexte"/>
          <w:rFonts w:asciiTheme="minorHAnsi" w:hAnsiTheme="minorHAnsi" w:cstheme="minorHAnsi"/>
          <w:b/>
          <w:color w:val="FF0000"/>
          <w:sz w:val="22"/>
          <w:szCs w:val="22"/>
          <w:lang w:eastAsia="en-US"/>
        </w:rPr>
        <w:t xml:space="preserve"> de contracter une IIM</w:t>
      </w:r>
    </w:p>
    <w:p w14:paraId="0305176D" w14:textId="77777777" w:rsidR="009D11D7" w:rsidRPr="007652DC" w:rsidRDefault="009D11D7" w:rsidP="00F77C8A">
      <w:pPr>
        <w:pStyle w:val="Paragraphedeliste"/>
        <w:numPr>
          <w:ilvl w:val="0"/>
          <w:numId w:val="6"/>
        </w:numPr>
        <w:ind w:left="426" w:hanging="283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Personnes souffrant de déficit en fraction terminale du complément, recevant un traitement anti-C5, porteuses d’un déficit en properdine ou ayant une asplénie anatomique ou fonctionnelle et chez les personnes ayant reçu une greffe de cellules souches hématopoïétiques : la vaccination est recommandée par un vaccin tétravalent conjugué ACWY. Pour ces personnes, un rappel de vaccin tétravalent ACWY est recommandé tous les 5 ans.</w:t>
      </w:r>
    </w:p>
    <w:p w14:paraId="756054C9" w14:textId="77777777" w:rsidR="009D11D7" w:rsidRPr="007652DC" w:rsidRDefault="009D11D7" w:rsidP="00F77C8A">
      <w:pPr>
        <w:pStyle w:val="Paragraphedeliste"/>
        <w:numPr>
          <w:ilvl w:val="0"/>
          <w:numId w:val="6"/>
        </w:numPr>
        <w:ind w:left="426" w:hanging="283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Personnels des laboratoires de recherche travaillant spécifiquement sur le méningocoque.</w:t>
      </w:r>
    </w:p>
    <w:p w14:paraId="0BA198F6" w14:textId="77777777" w:rsidR="009D11D7" w:rsidRPr="007652DC" w:rsidRDefault="009D11D7" w:rsidP="00F77C8A">
      <w:pPr>
        <w:pStyle w:val="Paragraphedeliste"/>
        <w:numPr>
          <w:ilvl w:val="0"/>
          <w:numId w:val="6"/>
        </w:numPr>
        <w:ind w:left="426" w:hanging="283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Sujets contacts d’un cas d’IIM de sérogroupes A, C, Y, ou W, dans les conditions prévues par l’instruction relative à la prophylaxie des infections invasives à méningocoques.</w:t>
      </w:r>
    </w:p>
    <w:p w14:paraId="6ABA485D" w14:textId="4C473FDD" w:rsidR="009D11D7" w:rsidRDefault="009D11D7" w:rsidP="00F77C8A">
      <w:pPr>
        <w:rPr>
          <w:rFonts w:asciiTheme="minorHAnsi" w:hAnsiTheme="minorHAnsi" w:cstheme="minorHAnsi"/>
        </w:rPr>
      </w:pPr>
    </w:p>
    <w:p w14:paraId="6469D787" w14:textId="77777777" w:rsidR="007652DC" w:rsidRPr="007652DC" w:rsidRDefault="007652DC" w:rsidP="00F77C8A">
      <w:pPr>
        <w:rPr>
          <w:rFonts w:asciiTheme="minorHAnsi" w:hAnsiTheme="minorHAnsi" w:cstheme="minorHAnsi"/>
        </w:rPr>
      </w:pPr>
    </w:p>
    <w:p w14:paraId="53282396" w14:textId="0A9C8A18" w:rsidR="00431B6F" w:rsidRPr="007652DC" w:rsidRDefault="00431B6F" w:rsidP="00F77C8A">
      <w:pPr>
        <w:pStyle w:val="Paragraphedeliste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Vaccina</w:t>
      </w:r>
      <w:r w:rsidR="00324886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tion</w:t>
      </w:r>
      <w:r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obligatoire chez le nourrisson </w:t>
      </w:r>
      <w:r w:rsidR="00ED2305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entre 0 et 24 mois </w:t>
      </w:r>
      <w:r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depuis le 01/01/2025</w:t>
      </w:r>
      <w:r w:rsidR="00161579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 : </w:t>
      </w:r>
      <w:hyperlink r:id="rId8" w:history="1">
        <w:r w:rsidR="00161579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décret n°2024-394 du 5 juillet 2024</w:t>
        </w:r>
      </w:hyperlink>
    </w:p>
    <w:p w14:paraId="45EA1718" w14:textId="1FA438AA" w:rsidR="001B23BF" w:rsidRPr="007652DC" w:rsidRDefault="00CF394F" w:rsidP="00F77C8A">
      <w:pPr>
        <w:pStyle w:val="Paragraphedeliste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i/>
          <w:color w:val="1F497D" w:themeColor="text2"/>
          <w:sz w:val="22"/>
          <w:szCs w:val="22"/>
        </w:rPr>
      </w:pPr>
      <w:hyperlink r:id="rId9" w:history="1">
        <w:r w:rsidR="001B23BF" w:rsidRPr="007652DC">
          <w:rPr>
            <w:rStyle w:val="Lienhypertexte"/>
            <w:rFonts w:asciiTheme="minorHAnsi" w:hAnsiTheme="minorHAnsi" w:cstheme="minorHAnsi"/>
            <w:sz w:val="22"/>
            <w:szCs w:val="22"/>
          </w:rPr>
          <w:t>Reco HAS du 7 mars 2024 </w:t>
        </w:r>
      </w:hyperlink>
      <w:r w:rsidR="001B23BF" w:rsidRPr="007652D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: </w:t>
      </w:r>
      <w:r w:rsidR="001B23BF" w:rsidRPr="007652DC">
        <w:rPr>
          <w:rFonts w:asciiTheme="minorHAnsi" w:eastAsia="Times New Roman" w:hAnsiTheme="minorHAnsi" w:cstheme="minorHAnsi"/>
          <w:i/>
          <w:color w:val="1F497D" w:themeColor="text2"/>
          <w:sz w:val="22"/>
          <w:szCs w:val="22"/>
        </w:rPr>
        <w:t>« La HAS recommande de rendre obligatoire la vaccination tétravalente chez tous les nourrissons, en remplacement de la vaccination méningococcique dirigée contre le sérogroupe C, selon le schéma vaccinal à deux doses ci-après : une dose unique de primovaccination à l’âge de 6 mois suivie d’une dose de rappel à l’âge de 12 mois,</w:t>
      </w:r>
      <w:r w:rsidR="00993D70" w:rsidRPr="007652DC">
        <w:rPr>
          <w:rFonts w:asciiTheme="minorHAnsi" w:eastAsia="Times New Roman" w:hAnsiTheme="minorHAnsi" w:cstheme="minorHAnsi"/>
          <w:i/>
          <w:color w:val="1F497D" w:themeColor="text2"/>
          <w:sz w:val="22"/>
          <w:szCs w:val="22"/>
        </w:rPr>
        <w:t xml:space="preserve"> ne</w:t>
      </w:r>
      <w:r w:rsidR="001B23BF" w:rsidRPr="007652DC">
        <w:rPr>
          <w:rFonts w:asciiTheme="minorHAnsi" w:eastAsia="Times New Roman" w:hAnsiTheme="minorHAnsi" w:cstheme="minorHAnsi"/>
          <w:i/>
          <w:color w:val="1F497D" w:themeColor="text2"/>
          <w:sz w:val="22"/>
          <w:szCs w:val="22"/>
        </w:rPr>
        <w:t xml:space="preserve"> recommande pas la mise en place d’un rattrapage de la vaccination ACWY chez les enfants de plus d’un an, recommande la vaccination tétravalente chez tous les adolescents selon un schéma à une dose administrée entre 11 et 14 ans, indépendamment de leur statut vaccinal et recommande la mise en place à l’échelle nationale d’un rattrapage vaccinal chez les 15-24 ans. »</w:t>
      </w:r>
    </w:p>
    <w:p w14:paraId="4084D93F" w14:textId="77777777" w:rsidR="001B23BF" w:rsidRPr="007652DC" w:rsidRDefault="00CF394F" w:rsidP="00F77C8A">
      <w:pPr>
        <w:pStyle w:val="Paragraphedeliste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i/>
          <w:color w:val="1F497D" w:themeColor="text2"/>
          <w:sz w:val="22"/>
          <w:szCs w:val="22"/>
        </w:rPr>
      </w:pPr>
      <w:hyperlink r:id="rId10" w:history="1">
        <w:r w:rsidR="001B23BF" w:rsidRPr="007652DC">
          <w:rPr>
            <w:rStyle w:val="Lienhypertexte"/>
            <w:rFonts w:asciiTheme="minorHAnsi" w:hAnsiTheme="minorHAnsi" w:cstheme="minorHAnsi"/>
            <w:sz w:val="22"/>
            <w:szCs w:val="22"/>
          </w:rPr>
          <w:t>Reco HAS du 27 juin 2024</w:t>
        </w:r>
      </w:hyperlink>
      <w:r w:rsidR="001B23BF" w:rsidRPr="007652D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(interchangeabilité NIMENRIX®/MENQUADFI®)</w:t>
      </w:r>
      <w:r w:rsidR="00161579" w:rsidRPr="007652D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 : </w:t>
      </w:r>
      <w:r w:rsidR="001B23BF" w:rsidRPr="007652DC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« Au terme de son évaluation, la HAS recommande que le vaccin Menquadfi puisse être utilisé, au même titre que le vaccin Nimenrix, pour l'administration de la dose de rappel à l'âge de 12 mois chez les nourrissons primovaccinés avec le vaccin Nimenrix avant 12 mois. »</w:t>
      </w:r>
    </w:p>
    <w:p w14:paraId="438F2472" w14:textId="662B6F51" w:rsidR="00431B6F" w:rsidRPr="007652DC" w:rsidRDefault="00CF394F" w:rsidP="00F77C8A">
      <w:pPr>
        <w:pStyle w:val="Paragraphedeliste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hyperlink r:id="rId11" w:history="1">
        <w:r w:rsidR="00431B6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 xml:space="preserve">Recommandation </w:t>
        </w:r>
        <w:r w:rsidR="00431B6F" w:rsidRPr="007652DC">
          <w:rPr>
            <w:rStyle w:val="Lienhypertexte"/>
            <w:rFonts w:asciiTheme="minorHAnsi" w:hAnsiTheme="minorHAnsi" w:cstheme="minorHAnsi"/>
            <w:b/>
            <w:sz w:val="22"/>
            <w:szCs w:val="22"/>
            <w:lang w:eastAsia="en-US"/>
          </w:rPr>
          <w:t>transitoire</w:t>
        </w:r>
        <w:r w:rsidR="00431B6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 xml:space="preserve"> de la HAS</w:t>
        </w:r>
        <w:r w:rsidR="00161579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 xml:space="preserve"> du 18 mars 2025</w:t>
        </w:r>
        <w:r w:rsidR="00431B6F" w:rsidRPr="007652DC">
          <w:rPr>
            <w:rStyle w:val="Lienhypertexte"/>
            <w:rFonts w:asciiTheme="minorHAnsi" w:hAnsiTheme="minorHAnsi" w:cstheme="minorHAnsi"/>
            <w:b/>
            <w:sz w:val="22"/>
            <w:szCs w:val="22"/>
            <w:lang w:eastAsia="en-US"/>
          </w:rPr>
          <w:t> </w:t>
        </w:r>
      </w:hyperlink>
      <w:r w:rsidR="00431B6F"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 xml:space="preserve">: </w:t>
      </w:r>
      <w:r w:rsidR="00431B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mise en place d’un rattrapage, ciblant les enfants jusqu'à 3 ans (avant leur 3ème anniversaire). Cette mesure transitoire concerne les enfants n’ayant jamais été vaccinés contre les sérogroupes ACWY, y compris les enfants ayant reçu deux doses de vaccin co</w:t>
      </w:r>
      <w:r w:rsidR="00CB76BC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ntre le sérogroupe C (pas de prise en charge)</w:t>
      </w:r>
    </w:p>
    <w:p w14:paraId="5EAB2D22" w14:textId="271B0CDD" w:rsidR="00ED2305" w:rsidRPr="007652DC" w:rsidRDefault="00CF394F" w:rsidP="00F77C8A">
      <w:pPr>
        <w:pStyle w:val="Paragraphedeliste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hyperlink r:id="rId12" w:history="1">
        <w:r w:rsidR="00ED2305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FAQ ministère</w:t>
        </w:r>
      </w:hyperlink>
    </w:p>
    <w:p w14:paraId="65760C18" w14:textId="4B7E3281" w:rsidR="00431B6F" w:rsidRDefault="00431B6F" w:rsidP="00F77C8A">
      <w:pPr>
        <w:rPr>
          <w:rFonts w:asciiTheme="minorHAnsi" w:hAnsiTheme="minorHAnsi" w:cstheme="minorHAnsi"/>
        </w:rPr>
      </w:pPr>
    </w:p>
    <w:p w14:paraId="43645E3F" w14:textId="77777777" w:rsidR="007652DC" w:rsidRPr="007652DC" w:rsidRDefault="007652DC" w:rsidP="00F77C8A">
      <w:pPr>
        <w:rPr>
          <w:rFonts w:asciiTheme="minorHAnsi" w:hAnsiTheme="minorHAnsi" w:cstheme="minorHAnsi"/>
        </w:rPr>
      </w:pPr>
    </w:p>
    <w:p w14:paraId="7CBAD705" w14:textId="77777777" w:rsidR="00431B6F" w:rsidRPr="007652DC" w:rsidRDefault="00BD25E9" w:rsidP="00BD25E9">
      <w:pPr>
        <w:rPr>
          <w:rFonts w:asciiTheme="minorHAnsi" w:hAnsiTheme="minorHAnsi" w:cstheme="minorHAnsi"/>
          <w:u w:val="single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highlight w:val="cyan"/>
          <w:u w:val="single"/>
          <w:lang w:eastAsia="en-US"/>
        </w:rPr>
        <w:t>NIMENRIX®</w:t>
      </w:r>
    </w:p>
    <w:p w14:paraId="26D7E702" w14:textId="77777777" w:rsidR="00431B6F" w:rsidRPr="007652DC" w:rsidRDefault="00431B6F" w:rsidP="00F77C8A">
      <w:pPr>
        <w:rPr>
          <w:rFonts w:asciiTheme="minorHAnsi" w:hAnsiTheme="minorHAnsi" w:cstheme="minorHAnsi"/>
        </w:rPr>
      </w:pPr>
    </w:p>
    <w:p w14:paraId="43C60BDF" w14:textId="78CA9E7C" w:rsidR="00431B6F" w:rsidRDefault="00CF394F" w:rsidP="00F77C8A">
      <w:pPr>
        <w:pStyle w:val="Paragraphedeliste"/>
        <w:ind w:left="0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  <w:hyperlink r:id="rId13" w:history="1">
        <w:r w:rsidR="00411CE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Arrêté du 1er mars 2022</w:t>
        </w:r>
      </w:hyperlink>
      <w:r w:rsidR="00411CE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et</w:t>
      </w:r>
      <w:r w:rsidR="00411CEF" w:rsidRPr="007652DC">
        <w:rPr>
          <w:rFonts w:asciiTheme="minorHAnsi" w:hAnsiTheme="minorHAnsi" w:cstheme="minorHAnsi"/>
        </w:rPr>
        <w:t xml:space="preserve"> </w:t>
      </w:r>
      <w:hyperlink r:id="rId14" w:history="1">
        <w:r w:rsidR="00BD25E9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Arrêté du 21 novembre 2024 </w:t>
        </w:r>
      </w:hyperlink>
      <w:r w:rsidR="00BD25E9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:</w:t>
      </w:r>
      <w:r w:rsidR="00431B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prise en charge dans l’immunisation active des sujets à partir de l'âge de 6 semaines contre les maladies </w:t>
      </w:r>
      <w:r w:rsidR="008D19E5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méningococcies</w:t>
      </w:r>
      <w:r w:rsidR="00431B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invasives dues aux Neisseria meningitidis des groupes A, C, W-135 et Y, selon les recommandations en vigueur de la HAS datant du </w:t>
      </w:r>
      <w:hyperlink r:id="rId15" w:history="1">
        <w:r w:rsidR="00B23D08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11 mars 2021</w:t>
        </w:r>
      </w:hyperlink>
      <w:r w:rsidR="00B23D08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, du </w:t>
      </w:r>
      <w:hyperlink r:id="rId16" w:history="1">
        <w:r w:rsidR="00431B6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7 mars 2024</w:t>
        </w:r>
      </w:hyperlink>
      <w:r w:rsidR="00431B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et du </w:t>
      </w:r>
      <w:hyperlink r:id="rId17" w:history="1">
        <w:r w:rsidR="00431B6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27 juin 2024</w:t>
        </w:r>
      </w:hyperlink>
      <w:r w:rsidR="00431B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.</w:t>
      </w:r>
    </w:p>
    <w:p w14:paraId="102EEEE4" w14:textId="77777777" w:rsidR="007652DC" w:rsidRPr="007652DC" w:rsidRDefault="007652DC" w:rsidP="00F77C8A">
      <w:pPr>
        <w:pStyle w:val="Paragraphedeliste"/>
        <w:ind w:left="0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</w:p>
    <w:p w14:paraId="1FC2432E" w14:textId="616DB45D" w:rsidR="00431B6F" w:rsidRPr="007652DC" w:rsidRDefault="00431B6F" w:rsidP="00F77C8A">
      <w:pPr>
        <w:pStyle w:val="Paragraphedeliste"/>
        <w:numPr>
          <w:ilvl w:val="0"/>
          <w:numId w:val="2"/>
        </w:numPr>
        <w:ind w:left="708" w:hanging="424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chez tous</w:t>
      </w:r>
      <w:r w:rsidR="00F77C8A"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 xml:space="preserve"> les nourrissons à 6 et 12 mois,</w:t>
      </w:r>
    </w:p>
    <w:p w14:paraId="7A97F507" w14:textId="48AD4228" w:rsidR="00431B6F" w:rsidRPr="007652DC" w:rsidRDefault="00431B6F" w:rsidP="00F77C8A">
      <w:pPr>
        <w:pStyle w:val="Paragraphedeliste"/>
        <w:numPr>
          <w:ilvl w:val="0"/>
          <w:numId w:val="2"/>
        </w:numPr>
        <w:ind w:left="708" w:hanging="424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chez tous les adolescents de 11 à 14 ans</w:t>
      </w:r>
      <w:r w:rsidR="00F77C8A"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,</w:t>
      </w:r>
    </w:p>
    <w:p w14:paraId="32A00C06" w14:textId="39CFC15D" w:rsidR="00431B6F" w:rsidRPr="007652DC" w:rsidRDefault="00431B6F" w:rsidP="00F77C8A">
      <w:pPr>
        <w:pStyle w:val="Paragraphedeliste"/>
        <w:numPr>
          <w:ilvl w:val="0"/>
          <w:numId w:val="2"/>
        </w:numPr>
        <w:ind w:left="708" w:hanging="424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en rattrapage vaccinal chez les 15-24 ans</w:t>
      </w:r>
      <w:r w:rsidR="00F77C8A"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,</w:t>
      </w:r>
    </w:p>
    <w:p w14:paraId="50E05EAD" w14:textId="7239D58A" w:rsidR="00B23D08" w:rsidRPr="007652DC" w:rsidRDefault="00B23D08" w:rsidP="00F77C8A">
      <w:pPr>
        <w:pStyle w:val="Paragraphedeliste"/>
        <w:numPr>
          <w:ilvl w:val="0"/>
          <w:numId w:val="2"/>
        </w:numPr>
        <w:ind w:left="708" w:hanging="424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 xml:space="preserve">PEC dans les populations </w:t>
      </w:r>
      <w:r w:rsidR="00ED2305"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 xml:space="preserve">spécifiques </w:t>
      </w: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 xml:space="preserve">recommandées par la HAS le </w:t>
      </w:r>
      <w:hyperlink r:id="rId18" w:history="1">
        <w:r w:rsidRPr="007652DC">
          <w:rPr>
            <w:rStyle w:val="Lienhypertexte"/>
            <w:rFonts w:asciiTheme="minorHAnsi" w:hAnsiTheme="minorHAnsi" w:cstheme="minorHAnsi"/>
            <w:b/>
            <w:sz w:val="22"/>
            <w:szCs w:val="22"/>
            <w:lang w:eastAsia="en-US"/>
          </w:rPr>
          <w:t>11 mars 2021</w:t>
        </w:r>
      </w:hyperlink>
      <w:r w:rsidR="00DF3CC8" w:rsidRPr="007652DC">
        <w:rPr>
          <w:rStyle w:val="Lienhypertexte"/>
          <w:rFonts w:asciiTheme="minorHAnsi" w:hAnsiTheme="minorHAnsi" w:cstheme="minorHAnsi"/>
          <w:b/>
          <w:sz w:val="22"/>
          <w:szCs w:val="22"/>
          <w:lang w:eastAsia="en-US"/>
        </w:rPr>
        <w:t xml:space="preserve"> (voir ci-dessous)</w:t>
      </w:r>
      <w:r w:rsidR="00F77C8A" w:rsidRPr="007652DC">
        <w:rPr>
          <w:rStyle w:val="Lienhypertexte"/>
          <w:rFonts w:asciiTheme="minorHAnsi" w:hAnsiTheme="minorHAnsi" w:cstheme="minorHAnsi"/>
          <w:b/>
          <w:sz w:val="22"/>
          <w:szCs w:val="22"/>
          <w:u w:val="none"/>
          <w:lang w:eastAsia="en-US"/>
        </w:rPr>
        <w:t>.</w:t>
      </w:r>
    </w:p>
    <w:p w14:paraId="40FA0D09" w14:textId="7C80797D" w:rsidR="007652DC" w:rsidRDefault="007652D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3D2D75A" w14:textId="77777777" w:rsidR="00431B6F" w:rsidRPr="007652DC" w:rsidRDefault="008D19E5" w:rsidP="008D19E5">
      <w:pPr>
        <w:rPr>
          <w:rFonts w:asciiTheme="minorHAnsi" w:hAnsiTheme="minorHAnsi" w:cstheme="minorHAnsi"/>
          <w:b/>
          <w:u w:val="single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highlight w:val="cyan"/>
          <w:u w:val="single"/>
          <w:lang w:eastAsia="en-US"/>
        </w:rPr>
        <w:lastRenderedPageBreak/>
        <w:t>MENQUADFI®</w:t>
      </w:r>
    </w:p>
    <w:p w14:paraId="5A9C83AA" w14:textId="77777777" w:rsidR="00431B6F" w:rsidRPr="007652DC" w:rsidRDefault="00431B6F" w:rsidP="00F77C8A">
      <w:pPr>
        <w:rPr>
          <w:rFonts w:asciiTheme="minorHAnsi" w:hAnsiTheme="minorHAnsi" w:cstheme="minorHAnsi"/>
        </w:rPr>
      </w:pPr>
    </w:p>
    <w:p w14:paraId="41740725" w14:textId="3F998897" w:rsidR="00431B6F" w:rsidRDefault="00CF394F" w:rsidP="00F77C8A">
      <w:pPr>
        <w:pStyle w:val="Paragraphedeliste"/>
        <w:ind w:left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hyperlink r:id="rId19" w:history="1">
        <w:r w:rsidR="006D60AE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Arrêté du 26 juillet 2022</w:t>
        </w:r>
      </w:hyperlink>
      <w:r w:rsidR="006D60AE" w:rsidRPr="007652DC">
        <w:rPr>
          <w:rFonts w:asciiTheme="minorHAnsi" w:hAnsiTheme="minorHAnsi" w:cstheme="minorHAnsi"/>
        </w:rPr>
        <w:t xml:space="preserve"> et </w:t>
      </w:r>
      <w:hyperlink r:id="rId20" w:history="1">
        <w:r w:rsidR="008D19E5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Arrêté du 21 novembre 2024 </w:t>
        </w:r>
      </w:hyperlink>
      <w:r w:rsidR="008D19E5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: </w:t>
      </w:r>
      <w:r w:rsidR="00431B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prise en charge dans l’immunisation active des sujets à partir de l'âge de 12 mois contre les maladies méningococciques invasives dues aux Neisseria meningitidis des groupes A, C, W-135 et Y, selon les recommandations en vigueur de la HAS datant </w:t>
      </w:r>
      <w:r w:rsidR="00D867AD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du </w:t>
      </w:r>
      <w:hyperlink r:id="rId21" w:history="1">
        <w:r w:rsidR="003F0148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7 mars 2024</w:t>
        </w:r>
      </w:hyperlink>
      <w:r w:rsidR="003F0148" w:rsidRPr="007652DC">
        <w:rPr>
          <w:rStyle w:val="Lienhypertexte"/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31B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et du </w:t>
      </w:r>
      <w:hyperlink r:id="rId22" w:history="1">
        <w:r w:rsidR="003F0148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27 juin 2024</w:t>
        </w:r>
      </w:hyperlink>
      <w:r w:rsidR="00F77C8A" w:rsidRPr="007652DC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019CC98" w14:textId="77777777" w:rsidR="007652DC" w:rsidRPr="007652DC" w:rsidRDefault="007652DC" w:rsidP="00F77C8A">
      <w:pPr>
        <w:pStyle w:val="Paragraphedeliste"/>
        <w:ind w:left="0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</w:p>
    <w:p w14:paraId="1B42EFFC" w14:textId="3D568D2F" w:rsidR="00431B6F" w:rsidRPr="007652DC" w:rsidRDefault="00431B6F" w:rsidP="00F77C8A">
      <w:pPr>
        <w:pStyle w:val="Paragraphedeliste"/>
        <w:numPr>
          <w:ilvl w:val="0"/>
          <w:numId w:val="2"/>
        </w:numPr>
        <w:ind w:left="708" w:hanging="424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 xml:space="preserve">PEC chez tous les nourrissons à partir de </w:t>
      </w:r>
      <w:r w:rsidR="008D19E5"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12 mois</w:t>
      </w:r>
    </w:p>
    <w:p w14:paraId="71FD4C58" w14:textId="77777777" w:rsidR="00431B6F" w:rsidRPr="007652DC" w:rsidRDefault="00431B6F" w:rsidP="00F77C8A">
      <w:pPr>
        <w:pStyle w:val="Paragraphedeliste"/>
        <w:numPr>
          <w:ilvl w:val="0"/>
          <w:numId w:val="2"/>
        </w:numPr>
        <w:ind w:left="708" w:hanging="424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chez tous les adolescents de 11 à 14 ans</w:t>
      </w:r>
    </w:p>
    <w:p w14:paraId="1D66B5D8" w14:textId="0A671FA2" w:rsidR="00431B6F" w:rsidRPr="007652DC" w:rsidRDefault="00431B6F" w:rsidP="00F77C8A">
      <w:pPr>
        <w:pStyle w:val="Paragraphedeliste"/>
        <w:numPr>
          <w:ilvl w:val="0"/>
          <w:numId w:val="2"/>
        </w:numPr>
        <w:ind w:left="708" w:hanging="424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en rattrapage vaccinal chez les 15-24 ans</w:t>
      </w:r>
    </w:p>
    <w:p w14:paraId="73D34FC0" w14:textId="674EFFE5" w:rsidR="00B23D08" w:rsidRPr="007652DC" w:rsidRDefault="00B23D08" w:rsidP="00F77C8A">
      <w:pPr>
        <w:numPr>
          <w:ilvl w:val="0"/>
          <w:numId w:val="2"/>
        </w:numPr>
        <w:ind w:left="708" w:hanging="424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 xml:space="preserve">PEC dans les populations recommandées par la HAS le </w:t>
      </w:r>
      <w:hyperlink r:id="rId23" w:history="1">
        <w:r w:rsidRPr="007652DC">
          <w:rPr>
            <w:rFonts w:asciiTheme="minorHAnsi" w:hAnsiTheme="minorHAnsi" w:cstheme="minorHAnsi"/>
            <w:b/>
            <w:color w:val="0000FF" w:themeColor="hyperlink"/>
            <w:sz w:val="22"/>
            <w:szCs w:val="22"/>
            <w:u w:val="single"/>
            <w:lang w:eastAsia="en-US"/>
          </w:rPr>
          <w:t>11 mars 2021</w:t>
        </w:r>
      </w:hyperlink>
    </w:p>
    <w:p w14:paraId="72D48E31" w14:textId="788F3B96" w:rsidR="00E55946" w:rsidRDefault="00E55946" w:rsidP="008D19E5">
      <w:pPr>
        <w:rPr>
          <w:rFonts w:asciiTheme="minorHAnsi" w:hAnsiTheme="minorHAnsi" w:cstheme="minorHAnsi"/>
        </w:rPr>
      </w:pPr>
    </w:p>
    <w:p w14:paraId="29EDCECC" w14:textId="77777777" w:rsidR="007652DC" w:rsidRPr="007652DC" w:rsidRDefault="007652DC" w:rsidP="008D19E5">
      <w:pPr>
        <w:rPr>
          <w:rFonts w:asciiTheme="minorHAnsi" w:hAnsiTheme="minorHAnsi" w:cstheme="minorHAnsi"/>
        </w:rPr>
      </w:pPr>
      <w:bookmarkStart w:id="0" w:name="_GoBack"/>
      <w:bookmarkEnd w:id="0"/>
    </w:p>
    <w:p w14:paraId="2866A5ED" w14:textId="06EDFB76" w:rsidR="00431B6F" w:rsidRPr="007652DC" w:rsidRDefault="008D19E5" w:rsidP="008D19E5">
      <w:pPr>
        <w:rPr>
          <w:rFonts w:asciiTheme="minorHAnsi" w:hAnsiTheme="minorHAnsi" w:cstheme="minorHAnsi"/>
          <w:b/>
          <w:color w:val="1F497D"/>
          <w:sz w:val="22"/>
          <w:szCs w:val="22"/>
          <w:u w:val="single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highlight w:val="cyan"/>
          <w:u w:val="single"/>
          <w:lang w:eastAsia="en-US"/>
        </w:rPr>
        <w:t>MENVEO®</w:t>
      </w:r>
    </w:p>
    <w:p w14:paraId="04F84EDE" w14:textId="77777777" w:rsidR="00431B6F" w:rsidRPr="007652DC" w:rsidRDefault="00431B6F" w:rsidP="00F77C8A">
      <w:pPr>
        <w:rPr>
          <w:rFonts w:asciiTheme="minorHAnsi" w:hAnsiTheme="minorHAnsi" w:cstheme="minorHAnsi"/>
        </w:rPr>
      </w:pPr>
    </w:p>
    <w:p w14:paraId="0100EFC2" w14:textId="6E225FE6" w:rsidR="00D867AD" w:rsidRDefault="00CF394F" w:rsidP="00F77C8A">
      <w:pPr>
        <w:pStyle w:val="Paragraphedeliste"/>
        <w:ind w:left="0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  <w:hyperlink r:id="rId24" w:history="1">
        <w:r w:rsidR="00D867AD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Arrêté du 28 juillet 2025</w:t>
        </w:r>
      </w:hyperlink>
      <w:r w:rsidR="008D19E5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:</w:t>
      </w:r>
      <w:r w:rsidR="00431B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</w:t>
      </w:r>
      <w:r w:rsidR="00D867AD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prise en charge dans l’immunisation active des sujets à partir de 2 ans contre les maladies méningococciques invasives dues aux Neisseria meningitidis des groupes A, C, W-135 et Y, selon les recommandations en vigueur de la HAS datant du</w:t>
      </w:r>
      <w:r w:rsidR="00CB76BC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</w:t>
      </w:r>
      <w:hyperlink r:id="rId25" w:history="1">
        <w:r w:rsidR="00D867AD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7 mars 2024</w:t>
        </w:r>
      </w:hyperlink>
      <w:r w:rsidR="00D867AD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et du </w:t>
      </w:r>
      <w:hyperlink r:id="rId26" w:history="1">
        <w:r w:rsidR="00D867AD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27 juin 2024</w:t>
        </w:r>
      </w:hyperlink>
      <w:r w:rsidR="00D867AD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.</w:t>
      </w:r>
    </w:p>
    <w:p w14:paraId="37C5F01E" w14:textId="77777777" w:rsidR="007652DC" w:rsidRPr="007652DC" w:rsidRDefault="007652DC" w:rsidP="00F77C8A">
      <w:pPr>
        <w:pStyle w:val="Paragraphedeliste"/>
        <w:ind w:left="0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</w:p>
    <w:p w14:paraId="783E367C" w14:textId="77777777" w:rsidR="00D867AD" w:rsidRPr="007652DC" w:rsidRDefault="00D867AD" w:rsidP="00F77C8A">
      <w:pPr>
        <w:pStyle w:val="Paragraphedeliste"/>
        <w:numPr>
          <w:ilvl w:val="0"/>
          <w:numId w:val="2"/>
        </w:numPr>
        <w:ind w:left="708" w:hanging="424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chez tous les adolescents de 11 à 14 ans</w:t>
      </w:r>
    </w:p>
    <w:p w14:paraId="05BD325B" w14:textId="77777777" w:rsidR="00D867AD" w:rsidRPr="007652DC" w:rsidRDefault="00D867AD" w:rsidP="00F77C8A">
      <w:pPr>
        <w:pStyle w:val="Paragraphedeliste"/>
        <w:numPr>
          <w:ilvl w:val="0"/>
          <w:numId w:val="2"/>
        </w:numPr>
        <w:ind w:left="708" w:hanging="424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en rattrapage vaccinal chez les 15-24 ans</w:t>
      </w:r>
    </w:p>
    <w:p w14:paraId="4641718C" w14:textId="77777777" w:rsidR="00D867AD" w:rsidRPr="007652DC" w:rsidRDefault="00D867AD" w:rsidP="00F77C8A">
      <w:pPr>
        <w:numPr>
          <w:ilvl w:val="0"/>
          <w:numId w:val="2"/>
        </w:numPr>
        <w:ind w:left="708" w:hanging="424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 xml:space="preserve">PEC dans les populations recommandées par la HAS le </w:t>
      </w:r>
      <w:hyperlink r:id="rId27" w:history="1">
        <w:r w:rsidRPr="007652DC">
          <w:rPr>
            <w:rFonts w:asciiTheme="minorHAnsi" w:hAnsiTheme="minorHAnsi" w:cstheme="minorHAnsi"/>
            <w:b/>
            <w:color w:val="0000FF" w:themeColor="hyperlink"/>
            <w:sz w:val="22"/>
            <w:szCs w:val="22"/>
            <w:u w:val="single"/>
            <w:lang w:eastAsia="en-US"/>
          </w:rPr>
          <w:t>11 mars 2021</w:t>
        </w:r>
      </w:hyperlink>
    </w:p>
    <w:p w14:paraId="175EC2D4" w14:textId="2B7677CC" w:rsidR="009D11D7" w:rsidRPr="007652DC" w:rsidRDefault="009D11D7" w:rsidP="00F77C8A">
      <w:pPr>
        <w:rPr>
          <w:rFonts w:asciiTheme="minorHAnsi" w:hAnsiTheme="minorHAnsi" w:cstheme="minorHAnsi"/>
        </w:rPr>
      </w:pPr>
    </w:p>
    <w:p w14:paraId="60BBE215" w14:textId="77777777" w:rsidR="00431B6F" w:rsidRPr="007652DC" w:rsidRDefault="00431B6F" w:rsidP="00431B6F">
      <w:pPr>
        <w:rPr>
          <w:rFonts w:asciiTheme="minorHAnsi" w:hAnsiTheme="minorHAnsi" w:cstheme="minorHAnsi"/>
        </w:rPr>
      </w:pPr>
    </w:p>
    <w:p w14:paraId="22DD2E73" w14:textId="1076E18F" w:rsidR="00223E26" w:rsidRPr="007652DC" w:rsidRDefault="00977BDB" w:rsidP="00F77C8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0" w:right="5930"/>
        <w:jc w:val="center"/>
        <w:rPr>
          <w:rFonts w:asciiTheme="minorHAnsi" w:hAnsiTheme="minorHAnsi" w:cstheme="minorHAnsi"/>
          <w:b/>
          <w:color w:val="1F497D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Cs w:val="22"/>
          <w:lang w:eastAsia="en-US"/>
        </w:rPr>
        <w:t xml:space="preserve">2- </w:t>
      </w:r>
      <w:r w:rsidR="00223E26" w:rsidRPr="007652DC">
        <w:rPr>
          <w:rFonts w:asciiTheme="minorHAnsi" w:hAnsiTheme="minorHAnsi" w:cstheme="minorHAnsi"/>
          <w:b/>
          <w:color w:val="1F497D"/>
          <w:szCs w:val="22"/>
          <w:lang w:eastAsia="en-US"/>
        </w:rPr>
        <w:t>VACCINATION SOUCHE B</w:t>
      </w:r>
    </w:p>
    <w:p w14:paraId="1A4BBE0F" w14:textId="122054F1" w:rsidR="00223E26" w:rsidRPr="007652DC" w:rsidRDefault="00223E26" w:rsidP="00F77C8A">
      <w:pPr>
        <w:rPr>
          <w:rFonts w:asciiTheme="minorHAnsi" w:hAnsiTheme="minorHAnsi" w:cstheme="minorHAnsi"/>
        </w:rPr>
      </w:pPr>
    </w:p>
    <w:p w14:paraId="386B0DD2" w14:textId="0BE0F0BA" w:rsidR="009D11D7" w:rsidRPr="007652DC" w:rsidRDefault="00CF394F" w:rsidP="00F77C8A">
      <w:pPr>
        <w:pStyle w:val="Paragraphedeliste"/>
        <w:ind w:left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hyperlink r:id="rId28" w:history="1">
        <w:r w:rsidR="009D11D7" w:rsidRPr="007652DC">
          <w:rPr>
            <w:rStyle w:val="Lienhypertexte"/>
            <w:rFonts w:asciiTheme="minorHAnsi" w:hAnsiTheme="minorHAnsi" w:cstheme="minorHAnsi"/>
            <w:b/>
            <w:color w:val="FF0000"/>
            <w:sz w:val="22"/>
            <w:szCs w:val="22"/>
          </w:rPr>
          <w:t xml:space="preserve">Rappel des recommandations spécifiques MenB du </w:t>
        </w:r>
        <w:r w:rsidR="009D11D7" w:rsidRPr="007652DC">
          <w:rPr>
            <w:rStyle w:val="Lienhypertexte"/>
            <w:rFonts w:asciiTheme="minorHAnsi" w:hAnsiTheme="minorHAnsi" w:cstheme="minorHAnsi"/>
            <w:b/>
            <w:color w:val="7030A0"/>
            <w:sz w:val="22"/>
            <w:szCs w:val="22"/>
          </w:rPr>
          <w:t>3 juin 2021</w:t>
        </w:r>
        <w:r w:rsidR="009D11D7" w:rsidRPr="007652DC">
          <w:rPr>
            <w:rStyle w:val="Lienhypertexte"/>
            <w:rFonts w:asciiTheme="minorHAnsi" w:hAnsiTheme="minorHAnsi" w:cstheme="minorHAnsi"/>
            <w:b/>
            <w:color w:val="FF0000"/>
            <w:sz w:val="22"/>
            <w:szCs w:val="22"/>
          </w:rPr>
          <w:t> :</w:t>
        </w:r>
      </w:hyperlink>
      <w:r w:rsidR="009D11D7" w:rsidRPr="007652D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populations à risque de contracter une IIM.</w:t>
      </w:r>
    </w:p>
    <w:p w14:paraId="7DFE0D39" w14:textId="3E133AE4" w:rsidR="009D11D7" w:rsidRPr="007652DC" w:rsidRDefault="009D11D7" w:rsidP="00F77C8A">
      <w:pPr>
        <w:pStyle w:val="Sansinterligne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La vaccination des populations particulièrement exposées ou à risque telles que définies dans les recommandations publiées par le HCSP en 2013.  </w:t>
      </w:r>
      <w:r w:rsidR="00F77C8A" w:rsidRPr="007652DC">
        <w:rPr>
          <w:rFonts w:asciiTheme="minorHAnsi" w:hAnsiTheme="minorHAnsi" w:cstheme="minorHAnsi"/>
          <w:i/>
          <w:color w:val="FF0000"/>
          <w:sz w:val="22"/>
          <w:szCs w:val="22"/>
        </w:rPr>
        <w:t>L’HAS</w:t>
      </w: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prend en compte l’existence d’un nouveau traitement antiC5 et introduit la vaccination de l’entourage familial des personnes à risque élevé d’IIM et le rappel à 5 ans pour les patients de plus de 2 ans présentant un risque continu d’exposition à une infection méningococcique.</w:t>
      </w:r>
    </w:p>
    <w:p w14:paraId="164E3F0B" w14:textId="77777777" w:rsidR="009D11D7" w:rsidRPr="007652DC" w:rsidRDefault="009D11D7" w:rsidP="00F77C8A">
      <w:pPr>
        <w:pStyle w:val="Sansinterligne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La HAS recommande donc que le vaccin BEXSERO® soit mis à la disposition des groupes de population suivants, selon les indications présentées dans l'autorisation européenne de mise sur le marché :</w:t>
      </w:r>
    </w:p>
    <w:p w14:paraId="52D53BDF" w14:textId="1D4126A6" w:rsidR="009D11D7" w:rsidRPr="007652DC" w:rsidRDefault="009D11D7" w:rsidP="00FB05CB">
      <w:pPr>
        <w:pStyle w:val="Sansinterligne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Les personnels des laboratoires de recherche travaillant spécifiquement sur le méningocoque ;</w:t>
      </w:r>
    </w:p>
    <w:p w14:paraId="5966C0AA" w14:textId="77819FB2" w:rsidR="009D11D7" w:rsidRPr="007652DC" w:rsidRDefault="009D11D7" w:rsidP="00FB05CB">
      <w:pPr>
        <w:pStyle w:val="Sansinterligne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Les personnes porteuses d’un déficit en fraction terminale du complément ou qui reçoivent un traitement anti-C5 notamment les personnes qui reçoivent un traitement par eculizumab (SOLIRIS®) ou ravulizumab (ULTOMIRIS®). Les personnes vaccinées dans le cadre d’une affection médiée par le complément doivent faire l’objet d’une surveillance post vaccinale du fait de la survenue possible d’une hémolyse ;</w:t>
      </w:r>
    </w:p>
    <w:p w14:paraId="55FA0DC0" w14:textId="0245E079" w:rsidR="009D11D7" w:rsidRPr="007652DC" w:rsidRDefault="009D11D7" w:rsidP="00FB05CB">
      <w:pPr>
        <w:pStyle w:val="Sansinterligne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Les personnes porteuses d’un déficit en properdine ;</w:t>
      </w:r>
    </w:p>
    <w:p w14:paraId="74EE7057" w14:textId="096AC6A6" w:rsidR="009D11D7" w:rsidRPr="007652DC" w:rsidRDefault="009D11D7" w:rsidP="00FB05CB">
      <w:pPr>
        <w:pStyle w:val="Sansinterligne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Les personnes ayant une asplénie anatomique ou fonctionnelle ;</w:t>
      </w:r>
    </w:p>
    <w:p w14:paraId="7A58A187" w14:textId="7CB83D92" w:rsidR="009D11D7" w:rsidRPr="007652DC" w:rsidRDefault="009D11D7" w:rsidP="00FB05CB">
      <w:pPr>
        <w:pStyle w:val="Sansinterligne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Les personnes ayant reçu une greffe de cellules souches hématopoïétiques ;</w:t>
      </w:r>
    </w:p>
    <w:p w14:paraId="3539B5D9" w14:textId="15C521B5" w:rsidR="009D11D7" w:rsidRPr="007652DC" w:rsidRDefault="009D11D7" w:rsidP="00FB05CB">
      <w:pPr>
        <w:pStyle w:val="Sansinterligne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L’entourage familial des personnes à risque élevée des IIM ;</w:t>
      </w:r>
    </w:p>
    <w:p w14:paraId="02021EC7" w14:textId="257B7125" w:rsidR="009D11D7" w:rsidRPr="007652DC" w:rsidRDefault="009D11D7" w:rsidP="00FB05CB">
      <w:pPr>
        <w:pStyle w:val="Sansinterligne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652DC">
        <w:rPr>
          <w:rFonts w:asciiTheme="minorHAnsi" w:hAnsiTheme="minorHAnsi" w:cstheme="minorHAnsi"/>
          <w:i/>
          <w:color w:val="FF0000"/>
          <w:sz w:val="22"/>
          <w:szCs w:val="22"/>
        </w:rPr>
        <w:t>Les enfants de plus de 2 ans, les adolescents et les adultes présentant un risque continu d’exposition à une infection méningococcique recevront une injection de rappel tous les 5 ans.</w:t>
      </w:r>
    </w:p>
    <w:p w14:paraId="3FF246D4" w14:textId="77777777" w:rsidR="007652DC" w:rsidRPr="007652DC" w:rsidRDefault="007652DC" w:rsidP="00F77C8A">
      <w:pPr>
        <w:rPr>
          <w:rFonts w:asciiTheme="minorHAnsi" w:hAnsiTheme="minorHAnsi" w:cstheme="minorHAnsi"/>
        </w:rPr>
      </w:pPr>
    </w:p>
    <w:p w14:paraId="79C433B7" w14:textId="77777777" w:rsidR="00F907A1" w:rsidRPr="007652DC" w:rsidRDefault="00235FB0" w:rsidP="00F77C8A">
      <w:pPr>
        <w:pStyle w:val="Paragraphedeliste"/>
        <w:numPr>
          <w:ilvl w:val="0"/>
          <w:numId w:val="5"/>
        </w:numPr>
        <w:ind w:left="284" w:hanging="284"/>
        <w:jc w:val="both"/>
        <w:rPr>
          <w:rStyle w:val="Lienhypertexte"/>
          <w:rFonts w:asciiTheme="minorHAnsi" w:hAnsiTheme="minorHAnsi" w:cstheme="minorHAnsi"/>
          <w:color w:val="auto"/>
          <w:u w:val="none"/>
        </w:rPr>
      </w:pPr>
      <w:r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Vaccination obligatoire chez le nourrisson depuis le 01/01/2025 : </w:t>
      </w:r>
      <w:hyperlink r:id="rId29" w:history="1">
        <w:r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décret n°2024-394 du 5 juillet 2024</w:t>
        </w:r>
      </w:hyperlink>
    </w:p>
    <w:p w14:paraId="7700F0FB" w14:textId="7CE244D9" w:rsidR="00F907A1" w:rsidRPr="007652DC" w:rsidRDefault="00CF394F" w:rsidP="00F77C8A">
      <w:pPr>
        <w:pStyle w:val="Paragraphedeliste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  <w:hyperlink r:id="rId30" w:history="1">
        <w:r w:rsidR="00F907A1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Reco HAS du 7 mars 2024</w:t>
        </w:r>
      </w:hyperlink>
      <w:r w:rsidR="00F907A1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 : l</w:t>
      </w:r>
      <w:r w:rsidR="00F77C8A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’</w:t>
      </w:r>
      <w:r w:rsidR="00F907A1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HAS ne recommande pas à ce stade d’élargir à tous les adolescents la vaccination dirigée contre le sérogroupe B. </w:t>
      </w:r>
      <w:r w:rsidR="00F77C8A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L’HAS</w:t>
      </w:r>
      <w:r w:rsidR="00F907A1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préconise toutefois que la vaccination dirigée contre le sérogroupe B puisse être remboursée chez tous les adolescents et jeunes adultes de 15 à 24 ans souhaitant se faire vacciner.</w:t>
      </w:r>
    </w:p>
    <w:p w14:paraId="7A29D6F9" w14:textId="226557F0" w:rsidR="00F907A1" w:rsidRPr="007652DC" w:rsidRDefault="00F77C8A" w:rsidP="00F77C8A">
      <w:pPr>
        <w:pStyle w:val="Paragraphedeliste"/>
        <w:ind w:left="284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L’HAS</w:t>
      </w:r>
      <w:r w:rsidR="00F907A1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recommande en outre de renforcer la stratégie actuellement en vigueur contre le sérogroupe B chez les nourrissons en rendant obligatoire cette vaccination actuellement recommandée, selon le schéma suivant : première dose à l’âge de 3 mois, deuxième dose à 5 mois et dose de rappel à 12 mois (M3, M5, M12).</w:t>
      </w:r>
    </w:p>
    <w:p w14:paraId="32291029" w14:textId="62F4594F" w:rsidR="00F907A1" w:rsidRPr="007652DC" w:rsidRDefault="00F907A1" w:rsidP="00F77C8A">
      <w:pPr>
        <w:pStyle w:val="Paragraphedeliste"/>
        <w:ind w:left="284" w:hanging="284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La HAS recommande par ailleurs le maintien de la stratégie actuellement en vigueur chez les personnes à risque et en situation d’</w:t>
      </w:r>
      <w:r w:rsidR="00CB76BC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hyper endémie</w:t>
      </w:r>
      <w:r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.</w:t>
      </w:r>
    </w:p>
    <w:p w14:paraId="627DFA3F" w14:textId="4770FFA4" w:rsidR="005D576F" w:rsidRPr="007652DC" w:rsidRDefault="00CF394F" w:rsidP="00F77C8A">
      <w:pPr>
        <w:pStyle w:val="Paragraphedeliste"/>
        <w:numPr>
          <w:ilvl w:val="0"/>
          <w:numId w:val="3"/>
        </w:numPr>
        <w:ind w:left="284" w:hanging="284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  <w:hyperlink r:id="rId31" w:history="1">
        <w:r w:rsidR="005D576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 xml:space="preserve">Recommandation </w:t>
        </w:r>
        <w:r w:rsidR="005D576F" w:rsidRPr="007652DC">
          <w:rPr>
            <w:rStyle w:val="Lienhypertexte"/>
            <w:rFonts w:asciiTheme="minorHAnsi" w:hAnsiTheme="minorHAnsi" w:cstheme="minorHAnsi"/>
            <w:b/>
            <w:sz w:val="22"/>
            <w:szCs w:val="22"/>
            <w:lang w:eastAsia="en-US"/>
          </w:rPr>
          <w:t xml:space="preserve">transitoire </w:t>
        </w:r>
        <w:r w:rsidR="005D576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de la HAS du 18 mars 2025</w:t>
        </w:r>
      </w:hyperlink>
      <w:r w:rsidR="007721E7" w:rsidRPr="007652DC">
        <w:rPr>
          <w:rStyle w:val="Lienhypertexte"/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5D576F"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 xml:space="preserve">: </w:t>
      </w:r>
      <w:r w:rsidR="005D57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mise en place d’une stratégie de vaccination de rattrapage contre le sérogroupe B chez les enfants entre 2 et 5 ans (avant leur 5éme anniversaire) n’ayant</w:t>
      </w:r>
      <w:r w:rsidR="005D576F" w:rsidRPr="007652DC">
        <w:rPr>
          <w:rFonts w:asciiTheme="minorHAnsi" w:hAnsiTheme="minorHAnsi" w:cstheme="minorHAnsi"/>
        </w:rPr>
        <w:t xml:space="preserve"> </w:t>
      </w:r>
      <w:r w:rsidR="005D57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jamais été vaccinés contre le sérogroupe B.</w:t>
      </w:r>
    </w:p>
    <w:p w14:paraId="6824010D" w14:textId="4BB8A80C" w:rsidR="00ED2305" w:rsidRPr="007652DC" w:rsidRDefault="00CF394F" w:rsidP="00F77C8A">
      <w:pPr>
        <w:pStyle w:val="Paragraphedeliste"/>
        <w:numPr>
          <w:ilvl w:val="0"/>
          <w:numId w:val="3"/>
        </w:numPr>
        <w:ind w:left="284" w:hanging="284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  <w:hyperlink r:id="rId32" w:history="1">
        <w:r w:rsidR="00ED2305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FAQ Ministère</w:t>
        </w:r>
      </w:hyperlink>
    </w:p>
    <w:p w14:paraId="224228FF" w14:textId="738F5B0B" w:rsidR="00431B6F" w:rsidRDefault="00431B6F" w:rsidP="00FB05CB">
      <w:pPr>
        <w:rPr>
          <w:rFonts w:asciiTheme="minorHAnsi" w:hAnsiTheme="minorHAnsi" w:cstheme="minorHAnsi"/>
        </w:rPr>
      </w:pPr>
    </w:p>
    <w:p w14:paraId="5DA4BA5E" w14:textId="77777777" w:rsidR="007652DC" w:rsidRPr="007652DC" w:rsidRDefault="007652DC" w:rsidP="00FB05CB">
      <w:pPr>
        <w:rPr>
          <w:rFonts w:asciiTheme="minorHAnsi" w:hAnsiTheme="minorHAnsi" w:cstheme="minorHAnsi"/>
        </w:rPr>
      </w:pPr>
    </w:p>
    <w:p w14:paraId="5F2B88BD" w14:textId="66FEB652" w:rsidR="00431B6F" w:rsidRPr="007652DC" w:rsidRDefault="00235FB0" w:rsidP="00235FB0">
      <w:pPr>
        <w:rPr>
          <w:rFonts w:asciiTheme="minorHAnsi" w:hAnsiTheme="minorHAnsi" w:cstheme="minorHAnsi"/>
          <w:b/>
          <w:u w:val="single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highlight w:val="cyan"/>
          <w:u w:val="single"/>
          <w:lang w:eastAsia="en-US"/>
        </w:rPr>
        <w:t>BEXSERO®</w:t>
      </w:r>
    </w:p>
    <w:p w14:paraId="2429AD27" w14:textId="77777777" w:rsidR="00431B6F" w:rsidRPr="007652DC" w:rsidRDefault="00431B6F" w:rsidP="00F77C8A">
      <w:pPr>
        <w:rPr>
          <w:rFonts w:asciiTheme="minorHAnsi" w:hAnsiTheme="minorHAnsi" w:cstheme="minorHAnsi"/>
        </w:rPr>
      </w:pPr>
    </w:p>
    <w:p w14:paraId="6DE4799F" w14:textId="4C94049D" w:rsidR="00431B6F" w:rsidRDefault="00CF394F" w:rsidP="00F77C8A">
      <w:pPr>
        <w:pStyle w:val="Paragraphedeliste"/>
        <w:ind w:left="0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  <w:hyperlink r:id="rId33" w:history="1">
        <w:r w:rsidR="00B7594B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Arrêté du 16 décembre 2014</w:t>
        </w:r>
      </w:hyperlink>
      <w:r w:rsidR="00B7594B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, </w:t>
      </w:r>
      <w:hyperlink r:id="rId34" w:history="1">
        <w:r w:rsidR="00B7594B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Arrêté du 25 avril 2022</w:t>
        </w:r>
      </w:hyperlink>
      <w:r w:rsidR="009C6597" w:rsidRPr="007652DC">
        <w:rPr>
          <w:rFonts w:asciiTheme="minorHAnsi" w:hAnsiTheme="minorHAnsi" w:cstheme="minorHAnsi"/>
        </w:rPr>
        <w:t xml:space="preserve"> </w:t>
      </w:r>
      <w:r w:rsidR="009C6597" w:rsidRPr="007652DC">
        <w:rPr>
          <w:rFonts w:asciiTheme="minorHAnsi" w:hAnsiTheme="minorHAnsi" w:cstheme="minorHAnsi"/>
          <w:sz w:val="22"/>
          <w:szCs w:val="22"/>
        </w:rPr>
        <w:t>et</w:t>
      </w:r>
      <w:r w:rsidR="009C6597" w:rsidRPr="007652DC">
        <w:rPr>
          <w:rFonts w:asciiTheme="minorHAnsi" w:hAnsiTheme="minorHAnsi" w:cstheme="minorHAnsi"/>
        </w:rPr>
        <w:t xml:space="preserve"> </w:t>
      </w:r>
      <w:hyperlink r:id="rId35" w:history="1">
        <w:r w:rsidR="00431B6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Arrêté du 2 avril 2025</w:t>
        </w:r>
        <w:r w:rsidR="00BD27FD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 </w:t>
        </w:r>
      </w:hyperlink>
      <w:r w:rsidR="00BD27FD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: </w:t>
      </w:r>
      <w:r w:rsidR="00431B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prise en charge dans l’immunisation active contre les infections invasives à méningocoque de sérogroupe B, des adolescents et des jeunes adultes de 15 à 24 ans. Cette catégorie s'ajoute aux autres populations recommandées par la </w:t>
      </w:r>
      <w:hyperlink r:id="rId36" w:history="1">
        <w:r w:rsidR="00431B6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HAS les 3 juin 2021</w:t>
        </w:r>
      </w:hyperlink>
      <w:r w:rsidR="00431B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et </w:t>
      </w:r>
      <w:hyperlink r:id="rId37" w:history="1">
        <w:r w:rsidR="00431B6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7 mars 2024</w:t>
        </w:r>
      </w:hyperlink>
      <w:r w:rsidR="00431B6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.</w:t>
      </w:r>
    </w:p>
    <w:p w14:paraId="6581CD74" w14:textId="77777777" w:rsidR="007652DC" w:rsidRPr="007652DC" w:rsidRDefault="007652DC" w:rsidP="00F77C8A">
      <w:pPr>
        <w:pStyle w:val="Paragraphedeliste"/>
        <w:ind w:left="0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</w:p>
    <w:p w14:paraId="711ABB66" w14:textId="007ECD02" w:rsidR="00BD27FD" w:rsidRPr="007652DC" w:rsidRDefault="00BD27FD" w:rsidP="00F77C8A">
      <w:pPr>
        <w:pStyle w:val="Paragraphedeliste"/>
        <w:numPr>
          <w:ilvl w:val="0"/>
          <w:numId w:val="2"/>
        </w:numPr>
        <w:ind w:left="696" w:hanging="412"/>
        <w:jc w:val="both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chez tous les nourrissons à partir de 2 mois jusqu’à 2 ans (Rappel si initiation avant 2 ans pris en charge également)</w:t>
      </w:r>
      <w:r w:rsidR="00F77C8A"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 ;</w:t>
      </w:r>
    </w:p>
    <w:p w14:paraId="299434F6" w14:textId="2266DD79" w:rsidR="00431B6F" w:rsidRPr="007652DC" w:rsidRDefault="00431B6F" w:rsidP="00F77C8A">
      <w:pPr>
        <w:pStyle w:val="Paragraphedeliste"/>
        <w:numPr>
          <w:ilvl w:val="0"/>
          <w:numId w:val="2"/>
        </w:numPr>
        <w:ind w:left="696" w:hanging="412"/>
        <w:jc w:val="both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des adolescents et jeunes adultes de 15 à 24 ans</w:t>
      </w:r>
      <w:r w:rsidR="00F77C8A"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 ;</w:t>
      </w:r>
    </w:p>
    <w:p w14:paraId="35C0936A" w14:textId="204D5709" w:rsidR="00431B6F" w:rsidRPr="007652DC" w:rsidRDefault="00431B6F" w:rsidP="005D576F">
      <w:pPr>
        <w:pStyle w:val="Paragraphedeliste"/>
        <w:numPr>
          <w:ilvl w:val="0"/>
          <w:numId w:val="2"/>
        </w:numPr>
        <w:ind w:left="696"/>
        <w:jc w:val="both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dans la population à risque de contracter une infection invasive à méningocoque ou populations ciblées dans le cadre de situations spécifiques (ex : hyperendémie...)</w:t>
      </w:r>
      <w:r w:rsidR="00F77C8A" w:rsidRPr="007652DC">
        <w:rPr>
          <w:rFonts w:asciiTheme="minorHAnsi" w:hAnsiTheme="minorHAnsi" w:cstheme="minorHAnsi"/>
          <w:color w:val="1F497D" w:themeColor="text2"/>
          <w:sz w:val="22"/>
          <w:szCs w:val="22"/>
        </w:rPr>
        <w:t>.</w:t>
      </w:r>
    </w:p>
    <w:p w14:paraId="459485DC" w14:textId="138E8E47" w:rsidR="00431B6F" w:rsidRDefault="00431B6F" w:rsidP="00F77C8A">
      <w:pPr>
        <w:rPr>
          <w:rFonts w:asciiTheme="minorHAnsi" w:hAnsiTheme="minorHAnsi" w:cstheme="minorHAnsi"/>
        </w:rPr>
      </w:pPr>
    </w:p>
    <w:p w14:paraId="5EF5035F" w14:textId="77777777" w:rsidR="007652DC" w:rsidRPr="007652DC" w:rsidRDefault="007652DC" w:rsidP="00F77C8A">
      <w:pPr>
        <w:rPr>
          <w:rFonts w:asciiTheme="minorHAnsi" w:hAnsiTheme="minorHAnsi" w:cstheme="minorHAnsi"/>
        </w:rPr>
      </w:pPr>
    </w:p>
    <w:p w14:paraId="0133FD53" w14:textId="36BF5D56" w:rsidR="00DF3CC8" w:rsidRPr="007652DC" w:rsidRDefault="00BD27FD" w:rsidP="00DF3CC8">
      <w:pPr>
        <w:jc w:val="both"/>
        <w:rPr>
          <w:rFonts w:asciiTheme="minorHAnsi" w:hAnsiTheme="minorHAnsi" w:cstheme="minorHAnsi"/>
          <w:b/>
          <w:u w:val="single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highlight w:val="cyan"/>
          <w:u w:val="single"/>
          <w:lang w:eastAsia="en-US"/>
        </w:rPr>
        <w:t>TRUMENBA®</w:t>
      </w:r>
    </w:p>
    <w:p w14:paraId="1EAE5B7C" w14:textId="77777777" w:rsidR="00431B6F" w:rsidRPr="007652DC" w:rsidRDefault="00431B6F" w:rsidP="00F77C8A">
      <w:pPr>
        <w:rPr>
          <w:rFonts w:asciiTheme="minorHAnsi" w:hAnsiTheme="minorHAnsi" w:cstheme="minorHAnsi"/>
        </w:rPr>
      </w:pPr>
    </w:p>
    <w:p w14:paraId="4400D05B" w14:textId="3FB3D3DA" w:rsidR="00D867AD" w:rsidRDefault="00CF394F" w:rsidP="00F77C8A">
      <w:pPr>
        <w:pStyle w:val="Paragraphedeliste"/>
        <w:ind w:left="0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  <w:hyperlink r:id="rId38" w:history="1">
        <w:r w:rsidR="00D867AD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Arrêté du 25 juillet 2025 </w:t>
        </w:r>
      </w:hyperlink>
      <w:r w:rsidR="00D867AD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: prise en charge dans l'immunisation active contre les infections invasives à méningocoque causées par Neisseria meningitidis de sérogroupe B, </w:t>
      </w:r>
      <w:r w:rsidR="00596A4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des adolescents et des jeunes adultes de 15 à 24 ans et </w:t>
      </w:r>
      <w:r w:rsidR="00D867AD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des sujets </w:t>
      </w:r>
      <w:r w:rsidR="00D867AD" w:rsidRPr="007652DC">
        <w:rPr>
          <w:rFonts w:asciiTheme="minorHAnsi" w:hAnsiTheme="minorHAnsi" w:cstheme="minorHAnsi"/>
          <w:b/>
          <w:color w:val="1F497D"/>
          <w:sz w:val="22"/>
          <w:szCs w:val="22"/>
          <w:u w:val="single"/>
          <w:lang w:eastAsia="en-US"/>
        </w:rPr>
        <w:t>à partir de l'âge de 10 ans uniquement</w:t>
      </w:r>
      <w:r w:rsidR="00D867AD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dans les populations recommandées par la </w:t>
      </w:r>
      <w:hyperlink r:id="rId39" w:history="1">
        <w:r w:rsidR="00596A4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HAS les 3 juin 2021</w:t>
        </w:r>
      </w:hyperlink>
      <w:r w:rsidR="00596A4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 xml:space="preserve"> et </w:t>
      </w:r>
      <w:hyperlink r:id="rId40" w:history="1">
        <w:r w:rsidR="00596A4F" w:rsidRPr="007652DC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7 mars 2024</w:t>
        </w:r>
      </w:hyperlink>
      <w:r w:rsidR="00596A4F" w:rsidRPr="007652DC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.</w:t>
      </w:r>
    </w:p>
    <w:p w14:paraId="70D31D92" w14:textId="77777777" w:rsidR="007652DC" w:rsidRPr="007652DC" w:rsidRDefault="007652DC" w:rsidP="00F77C8A">
      <w:pPr>
        <w:pStyle w:val="Paragraphedeliste"/>
        <w:ind w:left="0"/>
        <w:jc w:val="both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</w:p>
    <w:p w14:paraId="1D6FE9EE" w14:textId="77777777" w:rsidR="00D867AD" w:rsidRPr="007652DC" w:rsidRDefault="00D867AD" w:rsidP="00E91B2C">
      <w:pPr>
        <w:pStyle w:val="Paragraphedeliste"/>
        <w:numPr>
          <w:ilvl w:val="0"/>
          <w:numId w:val="2"/>
        </w:numPr>
        <w:ind w:left="709" w:hanging="425"/>
        <w:jc w:val="both"/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des adolescents et jeunes adultes de 15 à 24 ans</w:t>
      </w:r>
    </w:p>
    <w:p w14:paraId="696E1FDB" w14:textId="5507D18A" w:rsidR="00D867AD" w:rsidRPr="007652DC" w:rsidRDefault="00D867AD" w:rsidP="00E91B2C">
      <w:pPr>
        <w:pStyle w:val="Paragraphedeliste"/>
        <w:numPr>
          <w:ilvl w:val="0"/>
          <w:numId w:val="2"/>
        </w:numPr>
        <w:ind w:left="709" w:hanging="425"/>
        <w:jc w:val="both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7652DC">
        <w:rPr>
          <w:rFonts w:asciiTheme="minorHAnsi" w:hAnsiTheme="minorHAnsi" w:cstheme="minorHAnsi"/>
          <w:b/>
          <w:color w:val="1F497D"/>
          <w:sz w:val="22"/>
          <w:szCs w:val="22"/>
          <w:lang w:eastAsia="en-US"/>
        </w:rPr>
        <w:t>PEC dans la population à risque de contracter une infection invasive à méningocoque ou populations ciblées dans le cadre de situations spécifiques (ex : hyperendémie...)</w:t>
      </w:r>
      <w:r w:rsidRPr="007652D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r w:rsidR="004855F6" w:rsidRPr="007652DC">
        <w:rPr>
          <w:rFonts w:asciiTheme="minorHAnsi" w:hAnsiTheme="minorHAnsi" w:cstheme="minorHAnsi"/>
          <w:color w:val="1F497D" w:themeColor="text2"/>
          <w:sz w:val="22"/>
          <w:szCs w:val="22"/>
        </w:rPr>
        <w:t>à partir de l’âge de 10 ans uniquement.</w:t>
      </w:r>
    </w:p>
    <w:p w14:paraId="21F85CD8" w14:textId="4F7FC43F" w:rsidR="0009721A" w:rsidRPr="007652DC" w:rsidRDefault="0009721A" w:rsidP="00E91B2C">
      <w:pPr>
        <w:rPr>
          <w:rFonts w:asciiTheme="minorHAnsi" w:hAnsiTheme="minorHAnsi" w:cstheme="minorHAnsi"/>
        </w:rPr>
      </w:pPr>
    </w:p>
    <w:sectPr w:rsidR="0009721A" w:rsidRPr="007652DC" w:rsidSect="00F77C8A">
      <w:footerReference w:type="default" r:id="rId4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7E72F" w14:textId="77777777" w:rsidR="00CF394F" w:rsidRDefault="00CF394F" w:rsidP="007652DC">
      <w:r>
        <w:separator/>
      </w:r>
    </w:p>
  </w:endnote>
  <w:endnote w:type="continuationSeparator" w:id="0">
    <w:p w14:paraId="2E3DD64A" w14:textId="77777777" w:rsidR="00CF394F" w:rsidRDefault="00CF394F" w:rsidP="0076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1D25" w14:textId="1FC91DB3" w:rsidR="007652DC" w:rsidRPr="007652DC" w:rsidRDefault="007652DC" w:rsidP="007652DC">
    <w:pPr>
      <w:pStyle w:val="Pieddepage"/>
      <w:tabs>
        <w:tab w:val="clear" w:pos="9072"/>
        <w:tab w:val="right" w:pos="10466"/>
      </w:tabs>
      <w:rPr>
        <w:rFonts w:asciiTheme="minorHAnsi" w:hAnsiTheme="minorHAnsi" w:cstheme="minorHAnsi"/>
        <w:b/>
        <w:i/>
      </w:rPr>
    </w:pPr>
    <w:r>
      <w:tab/>
    </w:r>
    <w:r>
      <w:tab/>
    </w:r>
    <w:r w:rsidRPr="007652DC">
      <w:rPr>
        <w:rFonts w:asciiTheme="minorHAnsi" w:hAnsiTheme="minorHAnsi" w:cstheme="minorHAnsi"/>
        <w:b/>
        <w:i/>
        <w:sz w:val="20"/>
      </w:rPr>
      <w:t>MAJ : Nov.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6C79D" w14:textId="77777777" w:rsidR="00CF394F" w:rsidRDefault="00CF394F" w:rsidP="007652DC">
      <w:r>
        <w:separator/>
      </w:r>
    </w:p>
  </w:footnote>
  <w:footnote w:type="continuationSeparator" w:id="0">
    <w:p w14:paraId="12F561EC" w14:textId="77777777" w:rsidR="00CF394F" w:rsidRDefault="00CF394F" w:rsidP="00765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E5C"/>
    <w:multiLevelType w:val="hybridMultilevel"/>
    <w:tmpl w:val="A81004DC"/>
    <w:lvl w:ilvl="0" w:tplc="10AE4F70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55DC"/>
    <w:multiLevelType w:val="hybridMultilevel"/>
    <w:tmpl w:val="59A6ACF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1E3E69"/>
    <w:multiLevelType w:val="hybridMultilevel"/>
    <w:tmpl w:val="CCD8FA16"/>
    <w:lvl w:ilvl="0" w:tplc="35FAF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A5289"/>
    <w:multiLevelType w:val="hybridMultilevel"/>
    <w:tmpl w:val="6EF0655E"/>
    <w:lvl w:ilvl="0" w:tplc="48C41B0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C6330"/>
    <w:multiLevelType w:val="hybridMultilevel"/>
    <w:tmpl w:val="CBF030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2339A8"/>
    <w:multiLevelType w:val="hybridMultilevel"/>
    <w:tmpl w:val="EA008686"/>
    <w:lvl w:ilvl="0" w:tplc="847A9C7C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color w:val="1F497D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32F10"/>
    <w:multiLevelType w:val="multilevel"/>
    <w:tmpl w:val="5802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E2D6A"/>
    <w:multiLevelType w:val="hybridMultilevel"/>
    <w:tmpl w:val="AE822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716C8"/>
    <w:multiLevelType w:val="hybridMultilevel"/>
    <w:tmpl w:val="9AE608A0"/>
    <w:lvl w:ilvl="0" w:tplc="040C000D">
      <w:start w:val="1"/>
      <w:numFmt w:val="bullet"/>
      <w:lvlText w:val=""/>
      <w:lvlJc w:val="left"/>
      <w:pPr>
        <w:ind w:left="69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9" w15:restartNumberingAfterBreak="0">
    <w:nsid w:val="7870264E"/>
    <w:multiLevelType w:val="multilevel"/>
    <w:tmpl w:val="9450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620DF"/>
    <w:multiLevelType w:val="hybridMultilevel"/>
    <w:tmpl w:val="8AC8C5C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92"/>
    <w:rsid w:val="000068DE"/>
    <w:rsid w:val="0009721A"/>
    <w:rsid w:val="00161579"/>
    <w:rsid w:val="001B23BF"/>
    <w:rsid w:val="0022320E"/>
    <w:rsid w:val="00223E26"/>
    <w:rsid w:val="00235FB0"/>
    <w:rsid w:val="002366F6"/>
    <w:rsid w:val="002E713A"/>
    <w:rsid w:val="002F41E8"/>
    <w:rsid w:val="00324886"/>
    <w:rsid w:val="00363AB3"/>
    <w:rsid w:val="003F0148"/>
    <w:rsid w:val="00411CEF"/>
    <w:rsid w:val="00431B6F"/>
    <w:rsid w:val="004855F6"/>
    <w:rsid w:val="00571C04"/>
    <w:rsid w:val="00596A4F"/>
    <w:rsid w:val="005D576F"/>
    <w:rsid w:val="006D60AE"/>
    <w:rsid w:val="007652DC"/>
    <w:rsid w:val="007721E7"/>
    <w:rsid w:val="0089438C"/>
    <w:rsid w:val="008D19E5"/>
    <w:rsid w:val="008F0692"/>
    <w:rsid w:val="00977BDB"/>
    <w:rsid w:val="00993D70"/>
    <w:rsid w:val="009B6174"/>
    <w:rsid w:val="009C6597"/>
    <w:rsid w:val="009D11D7"/>
    <w:rsid w:val="009E120A"/>
    <w:rsid w:val="00B23D08"/>
    <w:rsid w:val="00B7594B"/>
    <w:rsid w:val="00BD176E"/>
    <w:rsid w:val="00BD25E9"/>
    <w:rsid w:val="00BD27FD"/>
    <w:rsid w:val="00C859AE"/>
    <w:rsid w:val="00CB76BC"/>
    <w:rsid w:val="00CD61D0"/>
    <w:rsid w:val="00CF394F"/>
    <w:rsid w:val="00D867AD"/>
    <w:rsid w:val="00DF3CC8"/>
    <w:rsid w:val="00E361C2"/>
    <w:rsid w:val="00E55946"/>
    <w:rsid w:val="00E579B8"/>
    <w:rsid w:val="00E91B2C"/>
    <w:rsid w:val="00E974FB"/>
    <w:rsid w:val="00ED2305"/>
    <w:rsid w:val="00F507F1"/>
    <w:rsid w:val="00F77C8A"/>
    <w:rsid w:val="00F907A1"/>
    <w:rsid w:val="00F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F26B"/>
  <w15:chartTrackingRefBased/>
  <w15:docId w15:val="{1A05A452-949F-4C6C-9A66-992B3E4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1B6F"/>
    <w:pPr>
      <w:ind w:left="720"/>
    </w:pPr>
  </w:style>
  <w:style w:type="paragraph" w:styleId="Sansinterligne">
    <w:name w:val="No Spacing"/>
    <w:uiPriority w:val="1"/>
    <w:qFormat/>
    <w:rsid w:val="00431B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6157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D19E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361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61C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61C2"/>
    <w:rPr>
      <w:rFonts w:ascii="Times New Roman" w:eastAsia="Calibri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61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61C2"/>
    <w:rPr>
      <w:rFonts w:ascii="Times New Roman" w:eastAsia="Calibri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61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1C2"/>
    <w:rPr>
      <w:rFonts w:ascii="Segoe UI" w:eastAsia="Calibri" w:hAnsi="Segoe UI" w:cs="Segoe UI"/>
      <w:sz w:val="18"/>
      <w:szCs w:val="18"/>
      <w:lang w:eastAsia="fr-FR"/>
    </w:rPr>
  </w:style>
  <w:style w:type="paragraph" w:customStyle="1" w:styleId="Default">
    <w:name w:val="Default"/>
    <w:rsid w:val="00DF3C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ED23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52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52DC"/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52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52DC"/>
    <w:rPr>
      <w:rFonts w:ascii="Times New Roman" w:eastAsia="Calibri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france.gouv.fr/jorf/id/JORFTEXT000045309643?init=true&amp;page=1&amp;query=nimenrix&amp;searchField=ALL&amp;tab_selection=all" TargetMode="External"/><Relationship Id="rId18" Type="http://schemas.openxmlformats.org/officeDocument/2006/relationships/hyperlink" Target="https://www.has-sante.fr/plugins/ModuleXitiKLEE/types/FileDocument/doXiti.jsp?id=p_3244837" TargetMode="External"/><Relationship Id="rId26" Type="http://schemas.openxmlformats.org/officeDocument/2006/relationships/hyperlink" Target="https://www.google.fr/url?sa=t&amp;source=web&amp;rct=j&amp;opi=89978449&amp;url=https://www.has-sante.fr/jcms/p_3528705/fr/recommandation-sur-l-interchangeabilite-des-vaccins-meningococciques-tetravalents-pour-l-administration-de-la-dose-de-rappel-a-l-age-de-12-mois&amp;ved=2ahUKEwjs8ty8rcGNAxXqQ6QEHTMCIpEQFnoECCwQAQ&amp;usg=AOvVaw09oXRH-r3Qa9i1WEnDLD1T" TargetMode="External"/><Relationship Id="rId39" Type="http://schemas.openxmlformats.org/officeDocument/2006/relationships/hyperlink" Target="https://www.has-sante.fr/jcms/p_3066921/fr/strategie-de-vaccination-pour-la-prevention-des-infections-invasives-a-meningocoques-le-serogroupe-b-et-la-place-de-bexsero" TargetMode="External"/><Relationship Id="rId21" Type="http://schemas.openxmlformats.org/officeDocument/2006/relationships/hyperlink" Target="https://www.has-sante.fr/jcms/p_3460601/fr/strategie-de-vaccination-contre-les-infections-invasives-a-meningocoques-revision-de-la-strategie-contre-les-serogroupes-acwy-et-b" TargetMode="External"/><Relationship Id="rId34" Type="http://schemas.openxmlformats.org/officeDocument/2006/relationships/hyperlink" Target="https://www.legifrance.gouv.fr/jorf/id/JORFTEXT000045696894?isAdvancedResult=&amp;page=1&amp;pageSize=10&amp;query=bexsero&amp;searchField=ALL&amp;searchProximity=&amp;searchType=ALL&amp;tab_selection=all&amp;typePagination=DEFAULT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google.fr/url?sa=t&amp;source=web&amp;rct=j&amp;opi=89978449&amp;url=https://www.has-sante.fr/upload/docs/application/pdf/2021-03/recommandation_vaccinale_contre_les_meningocoques_des_serogroupes_a_c_w_et_y_2021-03-30_11-41-37_392.pdf&amp;ved=2ahUKEwiu3Mb5rsGNAxX1SKQEHaPeA5gQFnoECBYQAQ&amp;usg=AOvVaw2FFfRRm92bE2DJtO4Izt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as-sante.fr/jcms/p_3460601/fr/strategie-de-vaccination-contre-les-infections-invasives-a-meningocoques-revision-de-la-strategie-contre-les-serogroupes-acwy-et-b" TargetMode="External"/><Relationship Id="rId20" Type="http://schemas.openxmlformats.org/officeDocument/2006/relationships/hyperlink" Target="https://www.legifrance.gouv.fr/jorf/id/JORFTEXT000050659873?init=true&amp;page=1&amp;query=menquadfi&amp;searchField=ALL&amp;tab_selection=all" TargetMode="External"/><Relationship Id="rId29" Type="http://schemas.openxmlformats.org/officeDocument/2006/relationships/hyperlink" Target="https://www.legifrance.gouv.fr/jorf/id/JORFARTI000049888954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s-sante.fr/jcms/p_3597672/fr/recrudescence-des-infections-invasives-a-meningocoques-de-nouvelles-recommandations-sur-le-rattrapage-vaccinal" TargetMode="External"/><Relationship Id="rId24" Type="http://schemas.openxmlformats.org/officeDocument/2006/relationships/hyperlink" Target="https://www.legifrance.gouv.fr/jorf/id/JORFTEXT000052009197?init=true&amp;page=1&amp;query=menveo&amp;searchField=ALL&amp;tab_selection=all" TargetMode="External"/><Relationship Id="rId32" Type="http://schemas.openxmlformats.org/officeDocument/2006/relationships/hyperlink" Target="https://sante.gouv.fr/soins-et-maladies/maladies/maladies-de-l-enfant/article/nouvelles-obligations-vaccinales-meningocoques-questions-reponses-pour-le-grand" TargetMode="External"/><Relationship Id="rId37" Type="http://schemas.openxmlformats.org/officeDocument/2006/relationships/hyperlink" Target="https://www.has-sante.fr/jcms/p_3460601/fr/strategie-de-vaccination-contre-les-infections-invasives-a-meningocoques-revision-de-la-strategie-contre-les-serogroupes-acwy-et-b" TargetMode="External"/><Relationship Id="rId40" Type="http://schemas.openxmlformats.org/officeDocument/2006/relationships/hyperlink" Target="https://www.has-sante.fr/jcms/p_3460601/fr/strategie-de-vaccination-contre-les-infections-invasives-a-meningocoques-revision-de-la-strategie-contre-les-serogroupes-acwy-et-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fr/url?sa=t&amp;source=web&amp;rct=j&amp;opi=89978449&amp;url=https://www.has-sante.fr/upload/docs/application/pdf/2021-03/recommandation_vaccinale_contre_les_meningocoques_des_serogroupes_a_c_w_et_y_2021-03-30_11-41-37_392.pdf&amp;ved=2ahUKEwiu3Mb5rsGNAxX1SKQEHaPeA5gQFnoECBYQAQ&amp;usg=AOvVaw2FFfRRm92bE2DJtO4Izt00" TargetMode="External"/><Relationship Id="rId23" Type="http://schemas.openxmlformats.org/officeDocument/2006/relationships/hyperlink" Target="https://www.has-sante.fr/plugins/ModuleXitiKLEE/types/FileDocument/doXiti.jsp?id=p_3244837" TargetMode="External"/><Relationship Id="rId28" Type="http://schemas.openxmlformats.org/officeDocument/2006/relationships/hyperlink" Target="https://www.has-sante.fr/jcms/p_3066921/fr/strategie-de-vaccination-pour-la-prevention-des-infections-invasives-a-meningocoques-le-serogroupe-b-et-la-place-de-bexsero" TargetMode="External"/><Relationship Id="rId36" Type="http://schemas.openxmlformats.org/officeDocument/2006/relationships/hyperlink" Target="https://www.has-sante.fr/jcms/p_3066921/fr/strategie-de-vaccination-pour-la-prevention-des-infections-invasives-a-meningocoques-le-serogroupe-b-et-la-place-de-bexsero" TargetMode="External"/><Relationship Id="rId10" Type="http://schemas.openxmlformats.org/officeDocument/2006/relationships/hyperlink" Target="https://www.google.fr/url?sa=t&amp;source=web&amp;rct=j&amp;opi=89978449&amp;url=https://www.has-sante.fr/jcms/p_3528705/fr/recommandation-sur-l-interchangeabilite-des-vaccins-meningococciques-tetravalents-pour-l-administration-de-la-dose-de-rappel-a-l-age-de-12-mois&amp;ved=2ahUKEwjs8ty8rcGNAxXqQ6QEHTMCIpEQFnoECCwQAQ&amp;usg=AOvVaw09oXRH-r3Qa9i1WEnDLD1T" TargetMode="External"/><Relationship Id="rId19" Type="http://schemas.openxmlformats.org/officeDocument/2006/relationships/hyperlink" Target="https://www.legifrance.gouv.fr/jorf/id/JORFTEXT000046107808?init=true&amp;page=1&amp;query=menquadfi&amp;searchField=ALL&amp;tab_selection=all" TargetMode="External"/><Relationship Id="rId31" Type="http://schemas.openxmlformats.org/officeDocument/2006/relationships/hyperlink" Target="https://www.has-sante.fr/jcms/p_3597672/fr/recrudescence-des-infections-invasives-a-meningocoques-de-nouvelles-recommandations-sur-le-rattrapage-vacci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s-sante.fr/jcms/p_3460601/fr/strategie-de-vaccination-contre-les-infections-invasives-a-meningocoques-revision-de-la-strategie-contre-les-serogroupes-acwy-et-b" TargetMode="External"/><Relationship Id="rId14" Type="http://schemas.openxmlformats.org/officeDocument/2006/relationships/hyperlink" Target="https://www.legifrance.gouv.fr/jorf/id/JORFTEXT000050659873?init=true&amp;page=1&amp;query=NIMENRIX&amp;searchField=ALL&amp;tab_selection=all" TargetMode="External"/><Relationship Id="rId22" Type="http://schemas.openxmlformats.org/officeDocument/2006/relationships/hyperlink" Target="https://www.google.fr/url?sa=t&amp;source=web&amp;rct=j&amp;opi=89978449&amp;url=https://www.has-sante.fr/jcms/p_3528705/fr/recommandation-sur-l-interchangeabilite-des-vaccins-meningococciques-tetravalents-pour-l-administration-de-la-dose-de-rappel-a-l-age-de-12-mois&amp;ved=2ahUKEwjs8ty8rcGNAxXqQ6QEHTMCIpEQFnoECCwQAQ&amp;usg=AOvVaw09oXRH-r3Qa9i1WEnDLD1T" TargetMode="External"/><Relationship Id="rId27" Type="http://schemas.openxmlformats.org/officeDocument/2006/relationships/hyperlink" Target="https://www.has-sante.fr/plugins/ModuleXitiKLEE/types/FileDocument/doXiti.jsp?id=p_3244837" TargetMode="External"/><Relationship Id="rId30" Type="http://schemas.openxmlformats.org/officeDocument/2006/relationships/hyperlink" Target="https://www.has-sante.fr/jcms/p_3460601/fr/strategie-de-vaccination-contre-les-infections-invasives-a-meningocoques-revision-de-la-strategie-contre-les-serogroupes-acwy-et-b" TargetMode="External"/><Relationship Id="rId35" Type="http://schemas.openxmlformats.org/officeDocument/2006/relationships/hyperlink" Target="https://www.legifrance.gouv.fr/jorf/id/JORFTEXT000051427381?init=true&amp;page=1&amp;query=bexsero&amp;searchField=ALL&amp;tab_selection=all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legifrance.gouv.fr/jorf/id/JORFARTI0000498889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ante.gouv.fr/soins-et-maladies/maladies/maladies-de-l-enfant/article/nouvelles-obligations-vaccinales-meningocoques-questions-reponses-pour-le-grand" TargetMode="External"/><Relationship Id="rId17" Type="http://schemas.openxmlformats.org/officeDocument/2006/relationships/hyperlink" Target="https://www.google.fr/url?sa=t&amp;source=web&amp;rct=j&amp;opi=89978449&amp;url=https://www.has-sante.fr/jcms/p_3528705/fr/recommandation-sur-l-interchangeabilite-des-vaccins-meningococciques-tetravalents-pour-l-administration-de-la-dose-de-rappel-a-l-age-de-12-mois&amp;ved=2ahUKEwjs8ty8rcGNAxXqQ6QEHTMCIpEQFnoECCwQAQ&amp;usg=AOvVaw09oXRH-r3Qa9i1WEnDLD1T" TargetMode="External"/><Relationship Id="rId25" Type="http://schemas.openxmlformats.org/officeDocument/2006/relationships/hyperlink" Target="https://www.has-sante.fr/jcms/p_3460601/fr/strategie-de-vaccination-contre-les-infections-invasives-a-meningocoques-revision-de-la-strategie-contre-les-serogroupes-acwy-et-b" TargetMode="External"/><Relationship Id="rId33" Type="http://schemas.openxmlformats.org/officeDocument/2006/relationships/hyperlink" Target="https://www.legifrance.gouv.fr/jorf/id/JORFTEXT000029917957?isAdvancedResult=&amp;page=1&amp;pageSize=10&amp;query=bexsero&amp;searchField=ALL&amp;searchProximity=&amp;searchType=ALL&amp;tab_selection=all&amp;typePagination=DEFAULT" TargetMode="External"/><Relationship Id="rId38" Type="http://schemas.openxmlformats.org/officeDocument/2006/relationships/hyperlink" Target="https://www.legifrance.gouv.fr/jorf/id/JORFTEXT000052000832?init=true&amp;page=1&amp;query=trumenba&amp;searchField=ALL&amp;tab_selection=al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</Company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OLIERO BEATRICE (DRSM PAYS DE LA LOIRE)</dc:creator>
  <cp:keywords/>
  <dc:description/>
  <cp:lastModifiedBy>LE COLLEN CATHERINE (CPAM LOIRE-ATLANTIQUE)</cp:lastModifiedBy>
  <cp:revision>2</cp:revision>
  <dcterms:created xsi:type="dcterms:W3CDTF">2025-11-12T12:01:00Z</dcterms:created>
  <dcterms:modified xsi:type="dcterms:W3CDTF">2025-11-12T12:01:00Z</dcterms:modified>
</cp:coreProperties>
</file>